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0769FB" w:rsidRPr="00E23CB8" w:rsidTr="00A90BB5">
        <w:tc>
          <w:tcPr>
            <w:tcW w:w="992" w:type="dxa"/>
          </w:tcPr>
          <w:p w:rsidR="000769FB" w:rsidRPr="00E23CB8" w:rsidRDefault="000769FB"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0769FB" w:rsidP="00FA2CA0">
            <w:pPr>
              <w:spacing w:line="276" w:lineRule="auto"/>
              <w:jc w:val="both"/>
              <w:rPr>
                <w:rFonts w:ascii="Times New Roman" w:eastAsia="Times New Roman" w:hAnsi="Times New Roman" w:cs="Times New Roman"/>
                <w:b/>
                <w:sz w:val="24"/>
                <w:szCs w:val="24"/>
                <w:lang w:eastAsia="pl-PL"/>
              </w:rPr>
            </w:pPr>
            <w:hyperlink r:id="rId5" w:history="1">
              <w:r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w:t>
              </w:r>
              <w:bookmarkStart w:id="0" w:name="_GoBack"/>
              <w:bookmarkEnd w:id="0"/>
              <w:r w:rsidRPr="000769FB">
                <w:rPr>
                  <w:rFonts w:ascii="Times New Roman" w:hAnsi="Times New Roman" w:cs="Times New Roman"/>
                  <w:sz w:val="24"/>
                  <w:szCs w:val="24"/>
                  <w:u w:val="single"/>
                </w:rPr>
                <w:t>zwiazku-ze-stanem-epidemii</w:t>
              </w:r>
            </w:hyperlink>
          </w:p>
        </w:tc>
      </w:tr>
      <w:tr w:rsidR="009C285E" w:rsidRPr="00E23CB8" w:rsidTr="00A90BB5">
        <w:tc>
          <w:tcPr>
            <w:tcW w:w="992" w:type="dxa"/>
          </w:tcPr>
          <w:p w:rsidR="009C285E" w:rsidRPr="00E23CB8" w:rsidRDefault="000769FB"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0769FB" w:rsidP="00FA2CA0">
            <w:pPr>
              <w:spacing w:line="276" w:lineRule="auto"/>
              <w:jc w:val="both"/>
              <w:rPr>
                <w:rFonts w:ascii="Times New Roman" w:hAnsi="Times New Roman" w:cs="Times New Roman"/>
                <w:sz w:val="24"/>
                <w:szCs w:val="24"/>
              </w:rPr>
            </w:pPr>
            <w:hyperlink r:id="rId6"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0769FB"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0769FB" w:rsidP="00FA2CA0">
            <w:pPr>
              <w:spacing w:line="276" w:lineRule="auto"/>
              <w:jc w:val="both"/>
              <w:rPr>
                <w:rFonts w:ascii="Times New Roman" w:eastAsia="Times New Roman" w:hAnsi="Times New Roman" w:cs="Times New Roman"/>
                <w:b/>
                <w:sz w:val="24"/>
                <w:szCs w:val="24"/>
                <w:lang w:eastAsia="pl-PL"/>
              </w:rPr>
            </w:pPr>
            <w:hyperlink r:id="rId7"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0769FB"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0769FB" w:rsidP="00DF4564">
            <w:pPr>
              <w:spacing w:line="276" w:lineRule="auto"/>
              <w:jc w:val="both"/>
              <w:rPr>
                <w:rFonts w:ascii="Times New Roman" w:eastAsia="Times New Roman" w:hAnsi="Times New Roman" w:cs="Times New Roman"/>
                <w:b/>
                <w:sz w:val="24"/>
                <w:szCs w:val="24"/>
                <w:lang w:eastAsia="pl-PL"/>
              </w:rPr>
            </w:pPr>
            <w:hyperlink r:id="rId8"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0769FB"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5</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0769FB"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9"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w:t>
            </w:r>
            <w:r w:rsidRPr="00E23CB8">
              <w:rPr>
                <w:rFonts w:ascii="Times New Roman" w:hAnsi="Times New Roman" w:cs="Times New Roman"/>
                <w:sz w:val="24"/>
                <w:szCs w:val="24"/>
              </w:rPr>
              <w:lastRenderedPageBreak/>
              <w:t xml:space="preserve">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w:t>
            </w:r>
            <w:r w:rsidRPr="00E23CB8">
              <w:rPr>
                <w:rFonts w:ascii="Times New Roman" w:hAnsi="Times New Roman" w:cs="Times New Roman"/>
                <w:sz w:val="24"/>
                <w:szCs w:val="24"/>
              </w:rPr>
              <w:lastRenderedPageBreak/>
              <w:t xml:space="preserve">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0769FB" w:rsidP="001A5FDF">
            <w:pPr>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Rozporządzenie Ministra Spraw Wewnętrznych i </w:t>
            </w:r>
            <w:r w:rsidRPr="00E23CB8">
              <w:rPr>
                <w:rFonts w:ascii="Times New Roman" w:hAnsi="Times New Roman" w:cs="Times New Roman"/>
                <w:color w:val="FF0000"/>
                <w:sz w:val="24"/>
                <w:szCs w:val="24"/>
              </w:rPr>
              <w:lastRenderedPageBreak/>
              <w:t>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lastRenderedPageBreak/>
              <w:t>2020 r.</w:t>
            </w:r>
          </w:p>
        </w:tc>
        <w:tc>
          <w:tcPr>
            <w:tcW w:w="5670" w:type="dxa"/>
          </w:tcPr>
          <w:p w:rsidR="00FA2CA0" w:rsidRPr="00E23CB8" w:rsidRDefault="000769FB" w:rsidP="00E23CB8">
            <w:pPr>
              <w:spacing w:line="276" w:lineRule="auto"/>
              <w:rPr>
                <w:rFonts w:ascii="Times New Roman" w:hAnsi="Times New Roman" w:cs="Times New Roman"/>
                <w:sz w:val="24"/>
                <w:szCs w:val="24"/>
              </w:rPr>
            </w:pPr>
            <w:hyperlink r:id="rId10"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0769FB"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0769FB" w:rsidP="00E23CB8">
            <w:pPr>
              <w:spacing w:line="276" w:lineRule="auto"/>
              <w:rPr>
                <w:rFonts w:ascii="Times New Roman" w:eastAsia="Times New Roman" w:hAnsi="Times New Roman" w:cs="Times New Roman"/>
                <w:b/>
                <w:color w:val="000000" w:themeColor="text1"/>
                <w:sz w:val="24"/>
                <w:szCs w:val="24"/>
                <w:lang w:eastAsia="pl-PL"/>
              </w:rPr>
            </w:pPr>
            <w:hyperlink r:id="rId11"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685610"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0769FB">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0769FB" w:rsidP="00E23CB8">
            <w:pPr>
              <w:spacing w:line="276" w:lineRule="auto"/>
              <w:rPr>
                <w:rFonts w:ascii="Times New Roman" w:hAnsi="Times New Roman" w:cs="Times New Roman"/>
                <w:color w:val="000000" w:themeColor="text1"/>
                <w:sz w:val="24"/>
                <w:szCs w:val="24"/>
                <w:shd w:val="clear" w:color="auto" w:fill="FFFFFF"/>
              </w:rPr>
            </w:pPr>
            <w:hyperlink r:id="rId12"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954BA4"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769FB">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0769FB" w:rsidP="00E23CB8">
            <w:pPr>
              <w:spacing w:line="276" w:lineRule="auto"/>
              <w:rPr>
                <w:rFonts w:ascii="Times New Roman" w:hAnsi="Times New Roman" w:cs="Times New Roman"/>
                <w:color w:val="000000" w:themeColor="text1"/>
                <w:sz w:val="24"/>
                <w:szCs w:val="24"/>
                <w:shd w:val="clear" w:color="auto" w:fill="FFFFFF"/>
              </w:rPr>
            </w:pPr>
            <w:hyperlink r:id="rId13"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FC717F"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769FB">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0769FB" w:rsidP="009C3477">
            <w:pPr>
              <w:spacing w:line="276" w:lineRule="auto"/>
              <w:rPr>
                <w:rFonts w:ascii="Times New Roman" w:hAnsi="Times New Roman" w:cs="Times New Roman"/>
                <w:color w:val="000000" w:themeColor="text1"/>
                <w:sz w:val="24"/>
                <w:szCs w:val="24"/>
                <w:shd w:val="clear" w:color="auto" w:fill="FFFFFF"/>
              </w:rPr>
            </w:pPr>
            <w:hyperlink r:id="rId14"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w:t>
            </w:r>
            <w:r w:rsidRPr="00E23CB8">
              <w:rPr>
                <w:rFonts w:ascii="Times New Roman" w:hAnsi="Times New Roman" w:cs="Times New Roman"/>
                <w:sz w:val="24"/>
                <w:szCs w:val="24"/>
              </w:rPr>
              <w:lastRenderedPageBreak/>
              <w:t>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jc w:val="both"/>
              <w:rPr>
                <w:rFonts w:ascii="Times New Roman" w:eastAsia="Times New Roman" w:hAnsi="Times New Roman" w:cs="Times New Roman"/>
                <w:b/>
                <w:sz w:val="24"/>
                <w:szCs w:val="24"/>
                <w:lang w:eastAsia="pl-PL"/>
              </w:rPr>
            </w:pPr>
            <w:hyperlink r:id="rId15"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769FB" w:rsidP="009C3477">
            <w:pPr>
              <w:spacing w:line="276" w:lineRule="auto"/>
              <w:jc w:val="both"/>
              <w:rPr>
                <w:rFonts w:ascii="Times New Roman" w:eastAsia="Times New Roman" w:hAnsi="Times New Roman" w:cs="Times New Roman"/>
                <w:sz w:val="24"/>
                <w:szCs w:val="24"/>
                <w:u w:val="single"/>
                <w:lang w:eastAsia="pl-PL"/>
              </w:rPr>
            </w:pPr>
            <w:hyperlink r:id="rId16"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0769FB" w:rsidP="009C3477">
            <w:pPr>
              <w:rPr>
                <w:rFonts w:ascii="Times New Roman" w:hAnsi="Times New Roman" w:cs="Times New Roman"/>
                <w:sz w:val="24"/>
                <w:szCs w:val="24"/>
              </w:rPr>
            </w:pPr>
            <w:hyperlink r:id="rId17"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t>
            </w:r>
            <w:r w:rsidRPr="00E23CB8">
              <w:rPr>
                <w:rFonts w:ascii="Times New Roman" w:hAnsi="Times New Roman" w:cs="Times New Roman"/>
                <w:sz w:val="24"/>
                <w:szCs w:val="24"/>
              </w:rPr>
              <w:lastRenderedPageBreak/>
              <w:t xml:space="preserve">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oraz pobranie materiału biologicznego od osób podejrzanych o zakażenie lub zakażonych wirusem </w:t>
            </w:r>
            <w:r w:rsidRPr="00E23CB8">
              <w:rPr>
                <w:rFonts w:ascii="Times New Roman" w:hAnsi="Times New Roman" w:cs="Times New Roman"/>
                <w:sz w:val="24"/>
                <w:szCs w:val="24"/>
              </w:rPr>
              <w:lastRenderedPageBreak/>
              <w:t>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769FB" w:rsidP="009C3477">
            <w:pPr>
              <w:jc w:val="both"/>
              <w:rPr>
                <w:rFonts w:ascii="Times New Roman" w:hAnsi="Times New Roman" w:cs="Times New Roman"/>
                <w:sz w:val="24"/>
                <w:szCs w:val="24"/>
              </w:rPr>
            </w:pPr>
            <w:hyperlink r:id="rId18"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w:t>
            </w:r>
            <w:r w:rsidRPr="00E23CB8">
              <w:rPr>
                <w:rFonts w:ascii="Times New Roman" w:hAnsi="Times New Roman" w:cs="Times New Roman"/>
                <w:sz w:val="24"/>
                <w:szCs w:val="24"/>
              </w:rPr>
              <w:lastRenderedPageBreak/>
              <w:t>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0769FB" w:rsidP="009C3477">
            <w:pPr>
              <w:spacing w:line="276" w:lineRule="auto"/>
              <w:jc w:val="both"/>
              <w:rPr>
                <w:rFonts w:ascii="Times New Roman" w:eastAsia="Times New Roman" w:hAnsi="Times New Roman" w:cs="Times New Roman"/>
                <w:b/>
                <w:sz w:val="24"/>
                <w:szCs w:val="24"/>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0769FB"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w:t>
            </w:r>
            <w:r w:rsidRPr="00E23CB8">
              <w:rPr>
                <w:rFonts w:ascii="Times New Roman" w:hAnsi="Times New Roman" w:cs="Times New Roman"/>
                <w:sz w:val="24"/>
                <w:szCs w:val="24"/>
              </w:rPr>
              <w:lastRenderedPageBreak/>
              <w:t xml:space="preserve">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0769FB"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0769FB" w:rsidP="009C3477">
            <w:pPr>
              <w:rPr>
                <w:rFonts w:ascii="Times New Roman" w:hAnsi="Times New Roman" w:cs="Times New Roman"/>
                <w:sz w:val="24"/>
                <w:szCs w:val="24"/>
              </w:rPr>
            </w:pPr>
            <w:hyperlink r:id="rId2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0769FB"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 xml:space="preserve">przeprowadzenie zaliczeń i egzaminów </w:t>
            </w:r>
            <w:r w:rsidRPr="00E23CB8">
              <w:rPr>
                <w:rFonts w:ascii="Times New Roman" w:hAnsi="Times New Roman" w:cs="Times New Roman"/>
                <w:sz w:val="24"/>
                <w:szCs w:val="24"/>
                <w:u w:val="single"/>
              </w:rPr>
              <w:lastRenderedPageBreak/>
              <w:t>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0769FB" w:rsidP="009C3477">
            <w:pPr>
              <w:spacing w:line="276" w:lineRule="auto"/>
              <w:rPr>
                <w:rFonts w:ascii="Times New Roman" w:eastAsia="Times New Roman" w:hAnsi="Times New Roman" w:cs="Times New Roman"/>
                <w:b/>
                <w:sz w:val="24"/>
                <w:szCs w:val="24"/>
                <w:lang w:eastAsia="pl-PL"/>
              </w:rPr>
            </w:pPr>
            <w:hyperlink r:id="rId24"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0769FB" w:rsidP="009C3477">
            <w:pPr>
              <w:spacing w:line="276" w:lineRule="auto"/>
              <w:rPr>
                <w:rFonts w:ascii="Times New Roman" w:eastAsia="Times New Roman" w:hAnsi="Times New Roman" w:cs="Times New Roman"/>
                <w:b/>
                <w:sz w:val="24"/>
                <w:szCs w:val="24"/>
                <w:lang w:eastAsia="pl-PL"/>
              </w:rPr>
            </w:pPr>
            <w:hyperlink r:id="rId25"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150% przeciętnego wynagrodzenia zasadniczego przewidzianego na  </w:t>
            </w:r>
            <w:r w:rsidRPr="00E23CB8">
              <w:rPr>
                <w:rFonts w:ascii="Times New Roman" w:hAnsi="Times New Roman" w:cs="Times New Roman"/>
                <w:sz w:val="24"/>
                <w:szCs w:val="24"/>
              </w:rPr>
              <w:lastRenderedPageBreak/>
              <w:t>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w:t>
            </w:r>
            <w:r w:rsidRPr="00E23CB8">
              <w:rPr>
                <w:rStyle w:val="pismamzZnak"/>
                <w:rFonts w:ascii="Times New Roman" w:hAnsi="Times New Roman" w:cs="Times New Roman"/>
                <w:sz w:val="24"/>
                <w:szCs w:val="24"/>
              </w:rPr>
              <w:lastRenderedPageBreak/>
              <w:t>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0769FB" w:rsidP="009C3477">
            <w:pPr>
              <w:spacing w:line="276" w:lineRule="auto"/>
              <w:jc w:val="both"/>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jc w:val="both"/>
              <w:rPr>
                <w:rFonts w:ascii="Times New Roman" w:hAnsi="Times New Roman" w:cs="Times New Roman"/>
                <w:b/>
                <w:bCs/>
                <w:sz w:val="24"/>
                <w:szCs w:val="24"/>
              </w:rPr>
            </w:pPr>
            <w:hyperlink r:id="rId27"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0769FB"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 xml:space="preserve">Aktualizacja zalecenia postępowania dla </w:t>
            </w:r>
            <w:r w:rsidRPr="00E23CB8">
              <w:rPr>
                <w:rStyle w:val="Hipercze"/>
                <w:rFonts w:ascii="Times New Roman" w:hAnsi="Times New Roman" w:cs="Times New Roman"/>
                <w:color w:val="auto"/>
                <w:sz w:val="24"/>
                <w:szCs w:val="24"/>
                <w:u w:val="none"/>
              </w:rPr>
              <w:lastRenderedPageBreak/>
              <w:t>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w:t>
            </w:r>
            <w:r w:rsidRPr="00E23CB8">
              <w:rPr>
                <w:rStyle w:val="Pogrubienie"/>
                <w:rFonts w:ascii="Times New Roman" w:hAnsi="Times New Roman" w:cs="Times New Roman"/>
                <w:b w:val="0"/>
                <w:sz w:val="24"/>
                <w:szCs w:val="24"/>
                <w:shd w:val="clear" w:color="auto" w:fill="FFFFFF"/>
              </w:rPr>
              <w:lastRenderedPageBreak/>
              <w:t>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0769FB" w:rsidP="009C3477">
            <w:pPr>
              <w:spacing w:line="276" w:lineRule="auto"/>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0769FB" w:rsidP="009C3477">
            <w:pPr>
              <w:spacing w:line="276" w:lineRule="auto"/>
              <w:rPr>
                <w:rStyle w:val="Pogrubienie"/>
                <w:rFonts w:ascii="Times New Roman" w:hAnsi="Times New Roman" w:cs="Times New Roman"/>
                <w:b w:val="0"/>
                <w:sz w:val="24"/>
                <w:szCs w:val="24"/>
                <w:shd w:val="clear" w:color="auto" w:fill="FFFFFF"/>
              </w:rPr>
            </w:pPr>
            <w:hyperlink r:id="rId30"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lastRenderedPageBreak/>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0769FB"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0769FB"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w:t>
            </w:r>
            <w:r w:rsidRPr="00E23CB8">
              <w:rPr>
                <w:rFonts w:ascii="Times New Roman" w:eastAsia="Times New Roman" w:hAnsi="Times New Roman" w:cs="Times New Roman"/>
                <w:sz w:val="24"/>
                <w:szCs w:val="24"/>
                <w:lang w:eastAsia="pl-PL"/>
              </w:rPr>
              <w:lastRenderedPageBreak/>
              <w:t>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0769FB" w:rsidP="009C3477">
            <w:pPr>
              <w:spacing w:line="276" w:lineRule="auto"/>
              <w:jc w:val="both"/>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0769FB" w:rsidP="009C3477">
            <w:pPr>
              <w:spacing w:line="276" w:lineRule="auto"/>
              <w:jc w:val="both"/>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rPr>
                <w:rFonts w:ascii="Times New Roman" w:eastAsia="Times New Roman" w:hAnsi="Times New Roman" w:cs="Times New Roman"/>
                <w:b/>
                <w:sz w:val="24"/>
                <w:szCs w:val="24"/>
                <w:lang w:eastAsia="pl-PL"/>
              </w:rPr>
            </w:pPr>
            <w:hyperlink r:id="rId35"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7"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0769FB"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33.</w:t>
            </w:r>
          </w:p>
        </w:tc>
        <w:tc>
          <w:tcPr>
            <w:tcW w:w="3119" w:type="dxa"/>
          </w:tcPr>
          <w:p w:rsidR="009C3477" w:rsidRPr="00E23CB8" w:rsidRDefault="000769FB"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w:t>
            </w:r>
            <w:r w:rsidRPr="00E23CB8">
              <w:rPr>
                <w:rFonts w:ascii="Times New Roman" w:hAnsi="Times New Roman" w:cs="Times New Roman"/>
                <w:sz w:val="24"/>
                <w:szCs w:val="24"/>
              </w:rPr>
              <w:lastRenderedPageBreak/>
              <w:t xml:space="preserve">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w:t>
            </w:r>
            <w:r w:rsidRPr="00E23CB8">
              <w:rPr>
                <w:rFonts w:ascii="Times New Roman" w:hAnsi="Times New Roman" w:cs="Times New Roman"/>
                <w:sz w:val="24"/>
                <w:szCs w:val="24"/>
              </w:rPr>
              <w:lastRenderedPageBreak/>
              <w:t>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0769FB"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w:t>
            </w:r>
            <w:r w:rsidRPr="00E23CB8">
              <w:rPr>
                <w:rFonts w:ascii="Times New Roman" w:hAnsi="Times New Roman" w:cs="Times New Roman"/>
                <w:bCs/>
                <w:sz w:val="24"/>
                <w:szCs w:val="24"/>
                <w:shd w:val="clear" w:color="auto" w:fill="FFFFFF"/>
              </w:rPr>
              <w:lastRenderedPageBreak/>
              <w:t>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0769FB" w:rsidP="009C3477">
            <w:pPr>
              <w:spacing w:line="276" w:lineRule="auto"/>
              <w:jc w:val="both"/>
              <w:rPr>
                <w:rFonts w:ascii="Times New Roman" w:hAnsi="Times New Roman" w:cs="Times New Roman"/>
                <w:sz w:val="24"/>
                <w:szCs w:val="24"/>
              </w:rPr>
            </w:pPr>
            <w:hyperlink r:id="rId41"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0769FB"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769FB" w:rsidP="009C3477">
            <w:pPr>
              <w:spacing w:line="276" w:lineRule="auto"/>
              <w:jc w:val="both"/>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Wojewoda poprosił również o przekazywanie ewentualnych zgłoszeń do Warmińsko-Mazurskiego </w:t>
            </w:r>
            <w:r w:rsidRPr="00E23CB8">
              <w:rPr>
                <w:rFonts w:ascii="Times New Roman" w:hAnsi="Times New Roman" w:cs="Times New Roman"/>
                <w:sz w:val="24"/>
                <w:szCs w:val="24"/>
                <w:shd w:val="clear" w:color="auto" w:fill="FFFFFF"/>
              </w:rPr>
              <w:lastRenderedPageBreak/>
              <w:t>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769FB"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0769FB" w:rsidP="009C3477">
            <w:pPr>
              <w:spacing w:line="276" w:lineRule="auto"/>
              <w:jc w:val="both"/>
              <w:rPr>
                <w:rFonts w:ascii="Times New Roman" w:hAnsi="Times New Roman" w:cs="Times New Roman"/>
                <w:bCs/>
                <w:sz w:val="24"/>
                <w:szCs w:val="24"/>
                <w:shd w:val="clear" w:color="auto" w:fill="FFFFFF"/>
              </w:rPr>
            </w:pPr>
            <w:hyperlink r:id="rId47"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4135F"/>
    <w:rsid w:val="0084322D"/>
    <w:rsid w:val="00895346"/>
    <w:rsid w:val="008C62CF"/>
    <w:rsid w:val="008E27C5"/>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6DB"/>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wroclaw.pl/default2.aspx?obj=45223;56046&amp;des=1;2" TargetMode="External"/><Relationship Id="rId18" Type="http://schemas.openxmlformats.org/officeDocument/2006/relationships/hyperlink" Target="https://www.nfz.gov.pl/zarzadzenia-prezesa/zarzadzenia-prezesa-nfz/zarzadzenie-nr-632020dsoz,7175.html" TargetMode="External"/><Relationship Id="rId26" Type="http://schemas.openxmlformats.org/officeDocument/2006/relationships/hyperlink" Target="https://www.gov.pl/web/zdrowie/skierowanie-do-pracy-przy-zwalczaniu-epidemii" TargetMode="External"/><Relationship Id="rId39" Type="http://schemas.openxmlformats.org/officeDocument/2006/relationships/hyperlink" Target="http://dziennikustaw.gov.pl/DU/2020/695" TargetMode="External"/><Relationship Id="rId21" Type="http://schemas.openxmlformats.org/officeDocument/2006/relationships/hyperlink" Target="http://dziennikustaw.gov.pl/DU/2020/749" TargetMode="External"/><Relationship Id="rId34" Type="http://schemas.openxmlformats.org/officeDocument/2006/relationships/hyperlink" Target="https://www.nfz.gov.pl/zarzadzenia-prezesa/zarzadzenia-prezesa-nfz/zarzadzenie-nr-602020dsoz,7171.html" TargetMode="External"/><Relationship Id="rId42" Type="http://schemas.openxmlformats.org/officeDocument/2006/relationships/hyperlink" Target="https://www.gov.pl/web/zdrowie/zalecenia-postepowania-dla-pielegniarek-ratunkowych-w-zwiazku-z-ogloszeniem-stanu-epidemii-w-polsce-zachorowan-na-covid-19" TargetMode="External"/><Relationship Id="rId47"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nfz.gov.pl/aktualnosci/aktualnosci-centrali/komunikat-dla-swiadczeniodawcow-dot-portalu-szoi,7711.html"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42020daii,7176.html" TargetMode="External"/><Relationship Id="rId29" Type="http://schemas.openxmlformats.org/officeDocument/2006/relationships/hyperlink" Target="https://www.gov.pl/web/zdrowie/aktualizacja-zalecenia-postepowania-dla-pielegniarekpoloznych-pracujacych-z-pacjentami-chorymi-na-cukrzyce" TargetMode="External"/><Relationship Id="rId11" Type="http://schemas.openxmlformats.org/officeDocument/2006/relationships/hyperlink" Target="https://www.nfz.gov.pl/aktualnosci/aktualnosci-centrali/komunikat-w-sprawie-dodatkowych-srodkow-dla-osob-udzielajacych-swiadczen-w-podmiotach-w-zwiazku-z-epidemia-covid-19-,7705.html" TargetMode="External"/><Relationship Id="rId24" Type="http://schemas.openxmlformats.org/officeDocument/2006/relationships/hyperlink" Target="http://dziennikmz.mz.gov.pl/" TargetMode="External"/><Relationship Id="rId32" Type="http://schemas.openxmlformats.org/officeDocument/2006/relationships/hyperlink" Target="https://www.gov.pl/web/uw-mazowiecki/wsparcie-psychologiczne-w-czasie-epidemii-koronawirusa" TargetMode="External"/><Relationship Id="rId37" Type="http://schemas.openxmlformats.org/officeDocument/2006/relationships/hyperlink" Target="https://www.gov.pl/web/koronawirus/nowa-normalnosc-etapy" TargetMode="External"/><Relationship Id="rId40" Type="http://schemas.openxmlformats.org/officeDocument/2006/relationships/hyperlink" Target="http://dziennikustaw.gov.pl/D2020000069501.pdf" TargetMode="External"/><Relationship Id="rId45"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5" Type="http://schemas.openxmlformats.org/officeDocument/2006/relationships/hyperlink" Target="http://dziennikustaw.gov.pl/D2020000077501.pdf" TargetMode="External"/><Relationship Id="rId23" Type="http://schemas.openxmlformats.org/officeDocument/2006/relationships/hyperlink" Target="http://dziennikustaw.gov.pl/DU/2020/741" TargetMode="External"/><Relationship Id="rId28" Type="http://schemas.openxmlformats.org/officeDocument/2006/relationships/hyperlink" Target="https://www.nfz.gov.pl/zarzadzenia-prezesa/zarzadzenia-prezesa-nfz/zarzadzenie-nr-612020dsoz,7172.html" TargetMode="External"/><Relationship Id="rId36" Type="http://schemas.openxmlformats.org/officeDocument/2006/relationships/hyperlink" Target="https://www.gov.pl/web/zdrowie/lista-laboratoriow-covid" TargetMode="External"/><Relationship Id="rId49" Type="http://schemas.openxmlformats.org/officeDocument/2006/relationships/theme" Target="theme/theme1.xml"/><Relationship Id="rId10" Type="http://schemas.openxmlformats.org/officeDocument/2006/relationships/hyperlink" Target="http://dziennikustaw.gov.pl/D2020000078801.pdf" TargetMode="External"/><Relationship Id="rId19" Type="http://schemas.openxmlformats.org/officeDocument/2006/relationships/hyperlink" Target="https://www.nfz.gov.pl/zarzadzenia-prezesa/zarzadzenia-prezesa-nfz/zarzadzenie-nr-622020def,7174.html" TargetMode="External"/><Relationship Id="rId31" Type="http://schemas.openxmlformats.org/officeDocument/2006/relationships/hyperlink" Target="https://www.gov.pl/web/zdrowie/beda-kolejne-centra-symulacji-medycznej-dla-pielegniarek-i-poloznych-prawie-53-mln-zl-na-nowoczesne-formy-ksztalcenia" TargetMode="External"/><Relationship Id="rId4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s://www.nfz.gov.pl/aktualnosci/aktualnosci-centrali/komunikat-dotyczacy-realizacji-swiadczen-rehabilitacji-leczniczej,7706.html" TargetMode="External"/><Relationship Id="rId1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2" Type="http://schemas.openxmlformats.org/officeDocument/2006/relationships/hyperlink" Target="http://dziennikustaw.gov.pl/DU/2020/748" TargetMode="External"/><Relationship Id="rId27" Type="http://schemas.openxmlformats.org/officeDocument/2006/relationships/hyperlink" Target="http://www.aotm.gov.pl/www/wp-content/uploads/covid_19/2020.04.25_zalecenia%20covid19_v1.1.pdf" TargetMode="External"/><Relationship Id="rId30" Type="http://schemas.openxmlformats.org/officeDocument/2006/relationships/hyperlink" Target="https://www.gov.pl/web/uw-mazowiecki/oswiadczenie-w-sprawie-delegowania-personelu-medycznego-przy-zwalczaniu-epidemii" TargetMode="External"/><Relationship Id="rId35" Type="http://schemas.openxmlformats.org/officeDocument/2006/relationships/hyperlink" Target="https://www.gov.pl/web/zdrowie/rekomendacje-dotyczace-walidacji-badan-molekularnych-w-kierunku-sars-cov2-w-sieci-laboratoriow-covid" TargetMode="External"/><Relationship Id="rId43" Type="http://schemas.openxmlformats.org/officeDocument/2006/relationships/hyperlink" Target="https://www.gov.pl/web/zdrowie/wytyczne-w-zakresie-dzialan-majacych-na-celu-zaobieganie-rozprzestrzeniania-sie-zakazen-sars-cov-2-w-srodowisku-szpitalnym" TargetMode="External"/><Relationship Id="rId48" Type="http://schemas.openxmlformats.org/officeDocument/2006/relationships/fontTable" Target="fontTable.xml"/><Relationship Id="rId8" Type="http://schemas.openxmlformats.org/officeDocument/2006/relationships/hyperlink" Target="https://www.nfz.gov.pl/zarzadzenia-prezesa/zarzadzenia-prezesa-nfz/zarzadzenie-nr-652020dsoz,7177.html" TargetMode="External"/><Relationship Id="rId3" Type="http://schemas.openxmlformats.org/officeDocument/2006/relationships/settings" Target="settings.xml"/><Relationship Id="rId12" Type="http://schemas.openxmlformats.org/officeDocument/2006/relationships/hyperlink" Target="http://www.nfz-warszawa.pl/dla-swiadczeniodawcow/aktualnosci/komunikat-w-sprawie-dodatkowych-srodkow-dla-osob-udzielajacych-swiadczen-w-podmiotach-w-zwiazku-z-epidemia-covid-19,1275.html" TargetMode="External"/><Relationship Id="rId17" Type="http://schemas.openxmlformats.org/officeDocument/2006/relationships/hyperlink" Target="http://dziennikustaw.gov.pl/DU/2020/761" TargetMode="External"/><Relationship Id="rId25" Type="http://schemas.openxmlformats.org/officeDocument/2006/relationships/hyperlink" Target="https://www.gov.pl/web/zdrowie/komunikat-ministra-zdrowia-w-sprawie-ordynowania-i-wydawania-produktow-leczniczych-arechin-i-plaquenil" TargetMode="External"/><Relationship Id="rId33" Type="http://schemas.openxmlformats.org/officeDocument/2006/relationships/hyperlink" Target="https://www.gov.pl/web/zdrowie/komunikat-ws-odwolania-panstwowego-egzaminu-specjalizacyjnego-w-dziedzinach-majacych-zastosowanie-w-ochronie-zdrowia" TargetMode="External"/><Relationship Id="rId38" Type="http://schemas.openxmlformats.org/officeDocument/2006/relationships/hyperlink" Target="http://dziennikustaw.gov.pl/D2020000069601.pdf" TargetMode="External"/><Relationship Id="rId46" Type="http://schemas.openxmlformats.org/officeDocument/2006/relationships/hyperlink" Target="https://www.gov.pl/web/uw-warminsko-mazurski/prosba-wojewody-do-srodowiska-medycznego" TargetMode="External"/><Relationship Id="rId20" Type="http://schemas.openxmlformats.org/officeDocument/2006/relationships/hyperlink" Target="http://dziennikustaw.gov.pl/DU/2020/750" TargetMode="External"/><Relationship Id="rId41"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gov.pl/web/zdrowie/stanowisko-kk-w-dziedzinie-medycyny-rodzinnej-dotyczace-przeprowadzania-badan-bilansowych-u-dzieci-w-czasie-trwania-pan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9543</Words>
  <Characters>57263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2020-05-07T07:32:00Z</dcterms:created>
  <dcterms:modified xsi:type="dcterms:W3CDTF">2020-05-07T07:32:00Z</dcterms:modified>
</cp:coreProperties>
</file>